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习近平在中共中央政治局第十九次集体学习时强调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  <w:w w:val="8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w w:val="80"/>
          <w:sz w:val="36"/>
          <w:szCs w:val="36"/>
          <w:shd w:val="clear" w:fill="FFFFFF"/>
        </w:rPr>
        <w:t>坚定不移贯彻总体国家安全观 把平安中国建设推向更高水平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《人民日报》（2025年03月02日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第01版）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中国建设只能加强，不能削弱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建设更高水平平安中国，必须强化社会治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4"/>
          <w:szCs w:val="24"/>
          <w:shd w:val="clear" w:fill="FFFFFF"/>
        </w:rPr>
        <w:t>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铁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新华社北京3月1日电</w:t>
      </w:r>
      <w:r>
        <w:rPr>
          <w:rFonts w:hint="eastAsia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中共中央政治局2月28日上午就建设更高水平平安中国进行第十九次集体学习。中共中央总书记习近平在主持学习时强调，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西南政法大学副校长、教授李燕同志就这个问题进行讲解，提出工作建议。中央政治局的同志认真听取讲解，并进行了讨论。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在听取讲解和讨论后发表重要讲话。他指出，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中国建设只能加强，不能削弱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强调，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指出，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强调，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指出，建设更高水平平安中国，必须强化社会治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aps w:val="0"/>
          <w:color w:val="auto"/>
          <w:spacing w:val="0"/>
          <w:sz w:val="28"/>
          <w:szCs w:val="28"/>
          <w:shd w:val="clear" w:fill="FFFFFF"/>
        </w:rPr>
        <w:t>习近平强调，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铁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758C"/>
    <w:multiLevelType w:val="singleLevel"/>
    <w:tmpl w:val="53F175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4a79cd7-164d-481d-9da7-855f65461702"/>
  </w:docVars>
  <w:rsids>
    <w:rsidRoot w:val="5FC33A13"/>
    <w:rsid w:val="51A056CA"/>
    <w:rsid w:val="54971D7D"/>
    <w:rsid w:val="5FC33A13"/>
    <w:rsid w:val="6D7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2025-03-05T02:40:00Z</dcterms:created>
  <dc:creator>NTKO</dc:creator>
  <cp:lastModifiedBy>哦豁</cp:lastModifiedBy>
  <dcterms:modified xsi:type="dcterms:W3CDTF">2025-03-17T08:27:07Z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FF825D4A155D42219DCAE789235B343D</vt:lpwstr>
  </property>
  <property fmtid="{D5CDD505-2E9C-101B-9397-08002B2CF9AE}" pid="4" name="KSOTemplateDocerSaveRecord">
    <vt:lpwstr>eyJoZGlkIjoiN2Q3NDNhNjBkYTJlNTQ5Y2M3MzY3ZDc5Yzk1NjczNGEifQ==</vt:lpwstr>
  </property>
</Properties>
</file>